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24135" w:rsidRDefault="00F92268" w:rsidP="00850792">
      <w:pPr>
        <w:pStyle w:val="BodyText"/>
        <w:rPr>
          <w:sz w:val="6"/>
          <w:szCs w:val="6"/>
        </w:rPr>
      </w:pPr>
      <w:r w:rsidRPr="0022413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2413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24135" w:rsidRDefault="00F92268" w:rsidP="00F246C7">
            <w:pPr>
              <w:pStyle w:val="RefTableData"/>
            </w:pPr>
            <w:r w:rsidRPr="00224135">
              <w:t>Reference number(s)</w:t>
            </w:r>
          </w:p>
        </w:tc>
      </w:tr>
      <w:tr w:rsidR="00F92268" w:rsidRPr="0022413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9D9158" w:rsidR="00F92268" w:rsidRPr="00224135" w:rsidRDefault="00E5639F" w:rsidP="00F246C7">
            <w:pPr>
              <w:pStyle w:val="RefTableHeader"/>
            </w:pPr>
            <w:r w:rsidRPr="00224135">
              <w:t>1974-A</w:t>
            </w:r>
          </w:p>
        </w:tc>
      </w:tr>
    </w:tbl>
    <w:p w14:paraId="74FBA5B4" w14:textId="77777777" w:rsidR="00051356" w:rsidRPr="00224135" w:rsidRDefault="00051356" w:rsidP="00A672B3">
      <w:pPr>
        <w:pStyle w:val="BodyText"/>
        <w:rPr>
          <w:b/>
          <w:bCs/>
          <w:sz w:val="16"/>
          <w:szCs w:val="16"/>
        </w:rPr>
        <w:sectPr w:rsidR="00051356" w:rsidRPr="0022413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5DD1E11" w:rsidR="004B15BB" w:rsidRPr="00224135" w:rsidRDefault="00B10DD4" w:rsidP="007E5C16">
      <w:pPr>
        <w:pStyle w:val="Heading1"/>
      </w:pPr>
      <w:r w:rsidRPr="00224135">
        <w:t>Specialty Guideline Management</w:t>
      </w:r>
      <w:r w:rsidRPr="00224135">
        <w:br/>
      </w:r>
      <w:proofErr w:type="spellStart"/>
      <w:r w:rsidRPr="00224135">
        <w:t>Strensiq</w:t>
      </w:r>
      <w:proofErr w:type="spellEnd"/>
    </w:p>
    <w:p w14:paraId="78861C92" w14:textId="3D21E7C7" w:rsidR="00203468" w:rsidRPr="00224135" w:rsidRDefault="00C64534" w:rsidP="008E0F0D">
      <w:pPr>
        <w:pStyle w:val="Heading2"/>
      </w:pPr>
      <w:r w:rsidRPr="00224135">
        <w:t xml:space="preserve">Products Referenced by this </w:t>
      </w:r>
      <w:r w:rsidR="00501602" w:rsidRPr="00224135">
        <w:t>Document</w:t>
      </w:r>
    </w:p>
    <w:p w14:paraId="5455152B" w14:textId="6ED7535B" w:rsidR="008E0F0D" w:rsidRPr="00224135" w:rsidRDefault="00D82D85" w:rsidP="008B73E8">
      <w:pPr>
        <w:pStyle w:val="BodyText"/>
      </w:pPr>
      <w:r w:rsidRPr="00224135">
        <w:t xml:space="preserve">Drugs that are listed in the </w:t>
      </w:r>
      <w:r w:rsidR="000315F1" w:rsidRPr="00224135">
        <w:t>following table</w:t>
      </w:r>
      <w:r w:rsidRPr="00224135">
        <w:t xml:space="preserve"> include both brand and generic and all dosage forms and strengths unless otherwise stated. </w:t>
      </w:r>
      <w:r w:rsidR="00C63955" w:rsidRPr="00C63955">
        <w:t>Over-the-counter (OTC)</w:t>
      </w:r>
      <w:r w:rsidRPr="0022413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224135" w14:paraId="158421F8" w14:textId="77777777" w:rsidTr="000C5A6F">
        <w:trPr>
          <w:cantSplit/>
          <w:trHeight w:val="288"/>
          <w:tblHeader/>
        </w:trPr>
        <w:tc>
          <w:tcPr>
            <w:tcW w:w="5265" w:type="dxa"/>
            <w:vAlign w:val="center"/>
          </w:tcPr>
          <w:p w14:paraId="2A27354A" w14:textId="1390179E" w:rsidR="00252CE1" w:rsidRPr="00224135" w:rsidRDefault="00252CE1" w:rsidP="00AA1E6A">
            <w:pPr>
              <w:pStyle w:val="TableHeader"/>
            </w:pPr>
            <w:bookmarkStart w:id="0" w:name="_Hlk159603270"/>
            <w:r w:rsidRPr="00224135">
              <w:t>Brand Name</w:t>
            </w:r>
          </w:p>
        </w:tc>
        <w:tc>
          <w:tcPr>
            <w:tcW w:w="5595" w:type="dxa"/>
            <w:vAlign w:val="center"/>
          </w:tcPr>
          <w:p w14:paraId="3D342BE1" w14:textId="75F11EF1" w:rsidR="00252CE1" w:rsidRPr="00224135" w:rsidRDefault="00252CE1" w:rsidP="00AA1E6A">
            <w:pPr>
              <w:pStyle w:val="TableHeader"/>
            </w:pPr>
            <w:r w:rsidRPr="00224135">
              <w:t>Generic Name</w:t>
            </w:r>
          </w:p>
        </w:tc>
      </w:tr>
      <w:tr w:rsidR="00585FFF" w:rsidRPr="00224135" w14:paraId="2AD5C02D" w14:textId="77777777" w:rsidTr="000C5A6F">
        <w:trPr>
          <w:cantSplit/>
        </w:trPr>
        <w:tc>
          <w:tcPr>
            <w:tcW w:w="5265" w:type="dxa"/>
          </w:tcPr>
          <w:p w14:paraId="2D8FA8E3" w14:textId="0FD29C38" w:rsidR="00585FFF" w:rsidRPr="00224135" w:rsidRDefault="00B10DD4" w:rsidP="00E82ABA">
            <w:pPr>
              <w:pStyle w:val="TableDataUnpadded"/>
            </w:pPr>
            <w:proofErr w:type="spellStart"/>
            <w:r w:rsidRPr="00224135">
              <w:t>Strensiq</w:t>
            </w:r>
            <w:proofErr w:type="spellEnd"/>
          </w:p>
        </w:tc>
        <w:tc>
          <w:tcPr>
            <w:tcW w:w="5595" w:type="dxa"/>
          </w:tcPr>
          <w:p w14:paraId="7E26A004" w14:textId="109D766D" w:rsidR="00585FFF" w:rsidRPr="00224135" w:rsidRDefault="00B10DD4" w:rsidP="00E82ABA">
            <w:pPr>
              <w:pStyle w:val="TableDataUnpadded"/>
            </w:pPr>
            <w:proofErr w:type="spellStart"/>
            <w:r w:rsidRPr="00224135">
              <w:t>asfotase</w:t>
            </w:r>
            <w:proofErr w:type="spellEnd"/>
            <w:r w:rsidRPr="00224135">
              <w:t xml:space="preserve"> alfa</w:t>
            </w:r>
          </w:p>
        </w:tc>
      </w:tr>
    </w:tbl>
    <w:bookmarkEnd w:id="0"/>
    <w:p w14:paraId="14CE6108" w14:textId="39021F54" w:rsidR="00FC1AAD" w:rsidRPr="00224135" w:rsidRDefault="00ED052F" w:rsidP="00FF66BF">
      <w:pPr>
        <w:pStyle w:val="Heading2"/>
        <w:tabs>
          <w:tab w:val="left" w:pos="9195"/>
        </w:tabs>
      </w:pPr>
      <w:r w:rsidRPr="00224135">
        <w:t>Indications</w:t>
      </w:r>
    </w:p>
    <w:p w14:paraId="2AAB8817" w14:textId="154A20AD" w:rsidR="00B10DD4" w:rsidRPr="00224135" w:rsidRDefault="00B10DD4" w:rsidP="00B10DD4">
      <w:pPr>
        <w:pStyle w:val="BodyText"/>
      </w:pPr>
      <w:r w:rsidRPr="00224135">
        <w:t>The indications below including FDA-approved indications and compendial uses are considered a covered benefit provided that all the approval criteria are met and the member has no exclusions to the prescribed therapy.</w:t>
      </w:r>
    </w:p>
    <w:p w14:paraId="134B5687" w14:textId="1E6511EB" w:rsidR="00ED052F" w:rsidRPr="00224135" w:rsidRDefault="00ED052F" w:rsidP="00ED052F">
      <w:pPr>
        <w:pStyle w:val="Heading3"/>
        <w:keepNext w:val="0"/>
      </w:pPr>
      <w:r w:rsidRPr="00224135">
        <w:t>FDA-</w:t>
      </w:r>
      <w:r w:rsidR="007F36FF">
        <w:t>A</w:t>
      </w:r>
      <w:r w:rsidRPr="00224135">
        <w:t>pproved Indication</w:t>
      </w:r>
      <w:r w:rsidR="00B10DD4" w:rsidRPr="00224135">
        <w:rPr>
          <w:vertAlign w:val="superscript"/>
        </w:rPr>
        <w:t>1</w:t>
      </w:r>
    </w:p>
    <w:p w14:paraId="37B79E87" w14:textId="76B6E37B" w:rsidR="0029082A" w:rsidRPr="00224135" w:rsidRDefault="0029082A" w:rsidP="0029082A">
      <w:pPr>
        <w:pStyle w:val="BodyText"/>
      </w:pPr>
      <w:proofErr w:type="spellStart"/>
      <w:r w:rsidRPr="00224135">
        <w:t>Strensiq</w:t>
      </w:r>
      <w:proofErr w:type="spellEnd"/>
      <w:r w:rsidRPr="00224135">
        <w:t xml:space="preserve"> is indicated for the treatment of patients with perinatal/infantile- and juvenile-onset hypophosphatasia (HPP).</w:t>
      </w:r>
    </w:p>
    <w:p w14:paraId="4C434745" w14:textId="1A4977D0" w:rsidR="00ED052F" w:rsidRPr="00224135" w:rsidRDefault="0029082A" w:rsidP="0029082A">
      <w:pPr>
        <w:pStyle w:val="BodyText"/>
      </w:pPr>
      <w:r w:rsidRPr="00224135">
        <w:t>All other indications are considered experimental/investigational and not medically necessary.</w:t>
      </w:r>
    </w:p>
    <w:p w14:paraId="36381B6D" w14:textId="1C7D0AB9" w:rsidR="000D2496" w:rsidRPr="00224135" w:rsidRDefault="000D2496" w:rsidP="000D2496">
      <w:pPr>
        <w:pStyle w:val="Heading2"/>
      </w:pPr>
      <w:r w:rsidRPr="00224135">
        <w:t>Documentation</w:t>
      </w:r>
    </w:p>
    <w:p w14:paraId="546BD96A" w14:textId="51EEB94C" w:rsidR="0029082A" w:rsidRPr="00224135" w:rsidRDefault="0029082A" w:rsidP="0029082A">
      <w:pPr>
        <w:pStyle w:val="BodyText"/>
      </w:pPr>
      <w:r w:rsidRPr="00224135">
        <w:t>Submission of the following information is necessary to initiate the prior authorization review:</w:t>
      </w:r>
    </w:p>
    <w:p w14:paraId="48809D8F" w14:textId="7BF4A76A" w:rsidR="0029082A" w:rsidRPr="00224135" w:rsidRDefault="0029082A" w:rsidP="0029082A">
      <w:pPr>
        <w:pStyle w:val="Heading3"/>
      </w:pPr>
      <w:r w:rsidRPr="00224135">
        <w:t>Initia</w:t>
      </w:r>
      <w:r w:rsidR="007A670E">
        <w:t>l requests:</w:t>
      </w:r>
    </w:p>
    <w:p w14:paraId="09295FED" w14:textId="73C7870A" w:rsidR="0029082A" w:rsidRPr="00224135" w:rsidRDefault="007A670E" w:rsidP="0029082A">
      <w:pPr>
        <w:pStyle w:val="ListParagraph"/>
      </w:pPr>
      <w:r>
        <w:t>Chart notes or medical record d</w:t>
      </w:r>
      <w:r w:rsidR="0029082A" w:rsidRPr="00224135">
        <w:t>ocumentation of presence of condition before the age of 18, if applicable</w:t>
      </w:r>
      <w:r w:rsidR="00517D47">
        <w:t>.</w:t>
      </w:r>
    </w:p>
    <w:p w14:paraId="1351CCEF" w14:textId="0BD301C4" w:rsidR="0029082A" w:rsidRPr="00224135" w:rsidRDefault="007A670E" w:rsidP="0029082A">
      <w:pPr>
        <w:pStyle w:val="ListParagraph"/>
      </w:pPr>
      <w:r>
        <w:lastRenderedPageBreak/>
        <w:t>Chart notes or medical record d</w:t>
      </w:r>
      <w:r w:rsidR="0029082A" w:rsidRPr="00224135">
        <w:t xml:space="preserve">ocumentation confirming diagnosis which includes </w:t>
      </w:r>
      <w:r>
        <w:t>either</w:t>
      </w:r>
      <w:r w:rsidR="0029082A" w:rsidRPr="00224135">
        <w:t xml:space="preserve"> of the following:</w:t>
      </w:r>
    </w:p>
    <w:p w14:paraId="442FAB64" w14:textId="05E08AC5" w:rsidR="0029082A" w:rsidRPr="00224135" w:rsidRDefault="0029082A" w:rsidP="0029082A">
      <w:pPr>
        <w:pStyle w:val="ListParagraph"/>
        <w:numPr>
          <w:ilvl w:val="1"/>
          <w:numId w:val="21"/>
        </w:numPr>
      </w:pPr>
      <w:r w:rsidRPr="00224135">
        <w:t>Genetic test results confirming a mutation in the ALPL gene</w:t>
      </w:r>
    </w:p>
    <w:p w14:paraId="73CEE880" w14:textId="2E845D3F" w:rsidR="0029082A" w:rsidRPr="00224135" w:rsidRDefault="0029082A" w:rsidP="0029082A">
      <w:pPr>
        <w:pStyle w:val="ListParagraph"/>
        <w:numPr>
          <w:ilvl w:val="1"/>
          <w:numId w:val="21"/>
        </w:numPr>
      </w:pPr>
      <w:r w:rsidRPr="00224135">
        <w:t>Submission of ALL of the following:</w:t>
      </w:r>
    </w:p>
    <w:p w14:paraId="63BA7A26" w14:textId="15269C66" w:rsidR="0029082A" w:rsidRPr="00224135" w:rsidRDefault="0029082A" w:rsidP="0029082A">
      <w:pPr>
        <w:pStyle w:val="ListParagraph"/>
        <w:numPr>
          <w:ilvl w:val="2"/>
          <w:numId w:val="21"/>
        </w:numPr>
      </w:pPr>
      <w:r w:rsidRPr="00224135">
        <w:t>Radiographic imaging demonstrating skeletal abnormalities (</w:t>
      </w:r>
      <w:r w:rsidR="007A670E">
        <w:t>s</w:t>
      </w:r>
      <w:r w:rsidRPr="00224135">
        <w:t>ee Appendix B)</w:t>
      </w:r>
    </w:p>
    <w:p w14:paraId="03ECE331" w14:textId="054AA9E2" w:rsidR="0029082A" w:rsidRPr="00224135" w:rsidRDefault="0029082A" w:rsidP="0029082A">
      <w:pPr>
        <w:pStyle w:val="ListParagraph"/>
        <w:numPr>
          <w:ilvl w:val="2"/>
          <w:numId w:val="21"/>
        </w:numPr>
      </w:pPr>
      <w:r w:rsidRPr="00224135">
        <w:t>A serum alkaline phosphatase (ALP) level below the gender and age-specific reference range of the laboratory performing the test</w:t>
      </w:r>
    </w:p>
    <w:p w14:paraId="31D48B0B" w14:textId="262C212E" w:rsidR="0029082A" w:rsidRPr="00224135" w:rsidRDefault="0029082A" w:rsidP="0029082A">
      <w:pPr>
        <w:pStyle w:val="ListParagraph"/>
        <w:numPr>
          <w:ilvl w:val="2"/>
          <w:numId w:val="21"/>
        </w:numPr>
      </w:pPr>
      <w:r w:rsidRPr="00224135">
        <w:t xml:space="preserve">Elevated tissue non-specific alkaline phosphatase (TNSALP) substrate level (e.g., serum pyridoxal 5-phosphate </w:t>
      </w:r>
      <w:r w:rsidR="007A670E">
        <w:t>[</w:t>
      </w:r>
      <w:r w:rsidRPr="00224135">
        <w:t>PLP</w:t>
      </w:r>
      <w:r w:rsidR="007A670E">
        <w:t>]</w:t>
      </w:r>
      <w:r w:rsidRPr="00224135">
        <w:t xml:space="preserve"> level, urine </w:t>
      </w:r>
      <w:proofErr w:type="spellStart"/>
      <w:r w:rsidRPr="00224135">
        <w:t>phosphoethanolamine</w:t>
      </w:r>
      <w:proofErr w:type="spellEnd"/>
      <w:r w:rsidRPr="00224135">
        <w:t xml:space="preserve"> </w:t>
      </w:r>
      <w:r w:rsidR="007A670E">
        <w:t>[</w:t>
      </w:r>
      <w:r w:rsidRPr="00224135">
        <w:t>PEA</w:t>
      </w:r>
      <w:r w:rsidR="007A670E">
        <w:t>]</w:t>
      </w:r>
      <w:r w:rsidRPr="00224135">
        <w:t xml:space="preserve"> level, or urinary or plasma inorganic pyrophosphate </w:t>
      </w:r>
      <w:r w:rsidR="007A670E">
        <w:t>[</w:t>
      </w:r>
      <w:proofErr w:type="spellStart"/>
      <w:r w:rsidRPr="00224135">
        <w:t>PPi</w:t>
      </w:r>
      <w:proofErr w:type="spellEnd"/>
      <w:r w:rsidR="007A670E">
        <w:t>]</w:t>
      </w:r>
      <w:r w:rsidRPr="00224135">
        <w:t xml:space="preserve"> level)</w:t>
      </w:r>
    </w:p>
    <w:p w14:paraId="41E70055" w14:textId="0FFB9F20" w:rsidR="0029082A" w:rsidRPr="00224135" w:rsidRDefault="0029082A" w:rsidP="0029082A">
      <w:pPr>
        <w:pStyle w:val="Heading3"/>
      </w:pPr>
      <w:r w:rsidRPr="00224135">
        <w:t xml:space="preserve">Continuation </w:t>
      </w:r>
      <w:r w:rsidR="007A670E">
        <w:t>requests:</w:t>
      </w:r>
    </w:p>
    <w:p w14:paraId="5604A6D4" w14:textId="5826C5CC" w:rsidR="0029082A" w:rsidRPr="00224135" w:rsidRDefault="00870ECC" w:rsidP="0029082A">
      <w:pPr>
        <w:pStyle w:val="BodyText"/>
      </w:pPr>
      <w:r>
        <w:t>Chart notes or m</w:t>
      </w:r>
      <w:r w:rsidR="0029082A" w:rsidRPr="00224135">
        <w:t>edical record</w:t>
      </w:r>
      <w:r>
        <w:t xml:space="preserve"> documentation</w:t>
      </w:r>
      <w:r w:rsidR="0029082A" w:rsidRPr="00224135">
        <w:t xml:space="preserve"> of at least one of the following </w:t>
      </w:r>
      <w:r w:rsidR="00517D47">
        <w:t>showing</w:t>
      </w:r>
      <w:r w:rsidR="0029082A" w:rsidRPr="00224135">
        <w:t xml:space="preserve"> benefit to therapy:</w:t>
      </w:r>
    </w:p>
    <w:p w14:paraId="0B80E6B7" w14:textId="13DA1691" w:rsidR="0029082A" w:rsidRPr="00224135" w:rsidRDefault="0029082A" w:rsidP="00E5639F">
      <w:pPr>
        <w:pStyle w:val="ListParagraph"/>
      </w:pPr>
      <w:r w:rsidRPr="00224135">
        <w:t>Radiographic Global Impression of Change (RGI-C) rating</w:t>
      </w:r>
    </w:p>
    <w:p w14:paraId="6B1FA9D5" w14:textId="627F1094" w:rsidR="0029082A" w:rsidRPr="00224135" w:rsidRDefault="0029082A" w:rsidP="00E5639F">
      <w:pPr>
        <w:pStyle w:val="ListParagraph"/>
      </w:pPr>
      <w:r w:rsidRPr="00224135">
        <w:t>Height and weight measurements as measured by z-scores</w:t>
      </w:r>
    </w:p>
    <w:p w14:paraId="38C348CA" w14:textId="1A5A98DA" w:rsidR="0029082A" w:rsidRPr="00224135" w:rsidRDefault="0029082A" w:rsidP="00E5639F">
      <w:pPr>
        <w:pStyle w:val="ListParagraph"/>
      </w:pPr>
      <w:r w:rsidRPr="00224135">
        <w:t>Modified Performance Oriented Mobility Assessment-Gait (MPOMA-G) score</w:t>
      </w:r>
    </w:p>
    <w:p w14:paraId="36CC4354" w14:textId="1CAB8EF0" w:rsidR="0029082A" w:rsidRPr="00224135" w:rsidRDefault="0029082A" w:rsidP="00E5639F">
      <w:pPr>
        <w:pStyle w:val="ListParagraph"/>
      </w:pPr>
      <w:r w:rsidRPr="00224135">
        <w:t>Distance walked in the 6 Minute Walk Test (6MWT)</w:t>
      </w:r>
    </w:p>
    <w:p w14:paraId="553FAE1A" w14:textId="0EBC1C66" w:rsidR="0029082A" w:rsidRPr="00224135" w:rsidRDefault="0029082A" w:rsidP="00E5639F">
      <w:pPr>
        <w:pStyle w:val="ListParagraph"/>
      </w:pPr>
      <w:r w:rsidRPr="00224135">
        <w:t>Timed Up &amp; Go (TUG) Test</w:t>
      </w:r>
    </w:p>
    <w:p w14:paraId="07070B51" w14:textId="1700BAC8" w:rsidR="0029082A" w:rsidRPr="00224135" w:rsidRDefault="0029082A" w:rsidP="00E5639F">
      <w:pPr>
        <w:pStyle w:val="ListParagraph"/>
      </w:pPr>
      <w:r w:rsidRPr="00224135">
        <w:t>Chair Rise Test</w:t>
      </w:r>
    </w:p>
    <w:p w14:paraId="2180ED6E" w14:textId="3AB4BA11" w:rsidR="000D2496" w:rsidRPr="00224135" w:rsidRDefault="0029082A" w:rsidP="00E5639F">
      <w:pPr>
        <w:pStyle w:val="ListParagraph"/>
      </w:pPr>
      <w:r w:rsidRPr="00224135">
        <w:t>Lower Extremity Function Scale (LEFS)</w:t>
      </w:r>
    </w:p>
    <w:p w14:paraId="50A38FBA" w14:textId="54DC5CF2" w:rsidR="00FE0C63" w:rsidRPr="00224135" w:rsidRDefault="00685107" w:rsidP="00E050E1">
      <w:pPr>
        <w:pStyle w:val="Heading2"/>
      </w:pPr>
      <w:r w:rsidRPr="00224135">
        <w:t>Coverage Criteria</w:t>
      </w:r>
    </w:p>
    <w:p w14:paraId="71F0DF73" w14:textId="4E478B8C" w:rsidR="00E5639F" w:rsidRPr="00224135" w:rsidRDefault="00E5639F" w:rsidP="00E5639F">
      <w:pPr>
        <w:pStyle w:val="Heading3"/>
      </w:pPr>
      <w:r w:rsidRPr="00224135">
        <w:t>Perinatal</w:t>
      </w:r>
      <w:r w:rsidR="007F36FF" w:rsidRPr="00224135">
        <w:t xml:space="preserve">/Infantile- </w:t>
      </w:r>
      <w:r w:rsidR="007F36FF">
        <w:t>a</w:t>
      </w:r>
      <w:r w:rsidR="007F36FF" w:rsidRPr="00224135">
        <w:t xml:space="preserve">nd Juvenile-Onset Hypophosphatasia </w:t>
      </w:r>
      <w:r w:rsidRPr="00224135">
        <w:t>(HPP)</w:t>
      </w:r>
      <w:r w:rsidRPr="00224135">
        <w:rPr>
          <w:vertAlign w:val="superscript"/>
        </w:rPr>
        <w:t>1-4</w:t>
      </w:r>
    </w:p>
    <w:p w14:paraId="40B920DC" w14:textId="77777777" w:rsidR="00E5639F" w:rsidRPr="00224135" w:rsidRDefault="00E5639F" w:rsidP="00E5639F">
      <w:pPr>
        <w:pStyle w:val="BodyText"/>
      </w:pPr>
      <w:r w:rsidRPr="00224135">
        <w:t>Authorization of 12 months may be granted for treatment of HPP when all of the following criteria are met:</w:t>
      </w:r>
    </w:p>
    <w:p w14:paraId="192E68EC" w14:textId="40A5EE05" w:rsidR="00E5639F" w:rsidRPr="00224135" w:rsidRDefault="00870ECC" w:rsidP="00E5639F">
      <w:pPr>
        <w:pStyle w:val="ListParagraph"/>
      </w:pPr>
      <w:r>
        <w:t>M</w:t>
      </w:r>
      <w:r w:rsidR="00E5639F" w:rsidRPr="00224135">
        <w:t>ember has clinical signs and/or symptoms of hypophosphatasia (</w:t>
      </w:r>
      <w:r>
        <w:t>s</w:t>
      </w:r>
      <w:r w:rsidR="00E5639F" w:rsidRPr="00224135">
        <w:t>ee Appendix A).</w:t>
      </w:r>
    </w:p>
    <w:p w14:paraId="247BE6C6" w14:textId="77777777" w:rsidR="00E5639F" w:rsidRPr="00224135" w:rsidRDefault="00E5639F" w:rsidP="00E5639F">
      <w:pPr>
        <w:pStyle w:val="ListParagraph"/>
      </w:pPr>
      <w:r w:rsidRPr="00224135">
        <w:t>The onset of the disease was perinatal/infantile or juvenile. If the member is 18 years of age or older at the time of the request, documentation of the presence of the condition before the age of 18 must be provided (e.g., member began experiencing symptoms at age 10).</w:t>
      </w:r>
    </w:p>
    <w:p w14:paraId="405106E2" w14:textId="07810F76" w:rsidR="00E5639F" w:rsidRPr="00224135" w:rsidRDefault="00870ECC" w:rsidP="00E5639F">
      <w:pPr>
        <w:pStyle w:val="ListParagraph"/>
      </w:pPr>
      <w:r>
        <w:t xml:space="preserve">Member’s </w:t>
      </w:r>
      <w:r w:rsidR="00E5639F" w:rsidRPr="00224135">
        <w:t xml:space="preserve">diagnosis was confirmed by </w:t>
      </w:r>
      <w:r>
        <w:t>either</w:t>
      </w:r>
      <w:r w:rsidR="00E5639F" w:rsidRPr="00224135">
        <w:t xml:space="preserve"> of the following:</w:t>
      </w:r>
    </w:p>
    <w:p w14:paraId="7F81D47B" w14:textId="77777777" w:rsidR="00E5639F" w:rsidRPr="00224135" w:rsidRDefault="00E5639F" w:rsidP="00E5639F">
      <w:pPr>
        <w:pStyle w:val="ListParagraph"/>
        <w:numPr>
          <w:ilvl w:val="1"/>
          <w:numId w:val="21"/>
        </w:numPr>
      </w:pPr>
      <w:r w:rsidRPr="00224135">
        <w:t>The presence of a known pathological mutation in the ALPL gene as detected by ALPL molecular genetic testing</w:t>
      </w:r>
    </w:p>
    <w:p w14:paraId="32C15E5B" w14:textId="77777777" w:rsidR="00E5639F" w:rsidRPr="00224135" w:rsidRDefault="00E5639F" w:rsidP="00E5639F">
      <w:pPr>
        <w:pStyle w:val="ListParagraph"/>
        <w:numPr>
          <w:ilvl w:val="1"/>
          <w:numId w:val="21"/>
        </w:numPr>
      </w:pPr>
      <w:r w:rsidRPr="00224135">
        <w:t>The diagnosis is supported by ALL of the following:</w:t>
      </w:r>
    </w:p>
    <w:p w14:paraId="3F4DA3A6" w14:textId="7D3AD471" w:rsidR="00E5639F" w:rsidRPr="00224135" w:rsidRDefault="00E5639F" w:rsidP="00E5639F">
      <w:pPr>
        <w:pStyle w:val="ListParagraph"/>
        <w:numPr>
          <w:ilvl w:val="2"/>
          <w:numId w:val="21"/>
        </w:numPr>
      </w:pPr>
      <w:r w:rsidRPr="00224135">
        <w:t>Radiographic imaging demonstrating skeletal abnormalities (</w:t>
      </w:r>
      <w:r w:rsidR="00870ECC">
        <w:t>s</w:t>
      </w:r>
      <w:r w:rsidRPr="00224135">
        <w:t>ee Appendix B)</w:t>
      </w:r>
    </w:p>
    <w:p w14:paraId="208BE1EF" w14:textId="54F4E431" w:rsidR="00E5639F" w:rsidRPr="00224135" w:rsidRDefault="00E5639F" w:rsidP="00E5639F">
      <w:pPr>
        <w:pStyle w:val="ListParagraph"/>
        <w:numPr>
          <w:ilvl w:val="2"/>
          <w:numId w:val="21"/>
        </w:numPr>
      </w:pPr>
      <w:r w:rsidRPr="00224135">
        <w:t>A serum alkaline phosphatase (ALP) level below the gender- and age-specific reference range of the laboratory performing the test</w:t>
      </w:r>
    </w:p>
    <w:p w14:paraId="3167645E" w14:textId="77777777" w:rsidR="00E5639F" w:rsidRPr="00224135" w:rsidRDefault="00E5639F" w:rsidP="00E5639F">
      <w:pPr>
        <w:pStyle w:val="ListParagraph"/>
        <w:numPr>
          <w:ilvl w:val="2"/>
          <w:numId w:val="21"/>
        </w:numPr>
      </w:pPr>
      <w:r w:rsidRPr="00224135">
        <w:lastRenderedPageBreak/>
        <w:t xml:space="preserve">Elevated tissue-nonspecific alkaline phosphatase (TNSALP) substrate level (e.g., serum PLP level, urine PEA level, or urinary or plasma </w:t>
      </w:r>
      <w:proofErr w:type="spellStart"/>
      <w:r w:rsidRPr="00224135">
        <w:t>PPi</w:t>
      </w:r>
      <w:proofErr w:type="spellEnd"/>
      <w:r w:rsidRPr="00224135">
        <w:t xml:space="preserve"> level) as defined by the laboratory performing the test</w:t>
      </w:r>
    </w:p>
    <w:p w14:paraId="66823C1E" w14:textId="51E3106E" w:rsidR="00E5639F" w:rsidRPr="00224135" w:rsidRDefault="00E5639F" w:rsidP="00E5639F">
      <w:pPr>
        <w:pStyle w:val="ListParagraph"/>
      </w:pPr>
      <w:r w:rsidRPr="00224135">
        <w:t xml:space="preserve">Member’s weekly dose will not exceed </w:t>
      </w:r>
      <w:r w:rsidR="00D3198F">
        <w:t xml:space="preserve">either of </w:t>
      </w:r>
      <w:r w:rsidRPr="00224135">
        <w:t>the following:</w:t>
      </w:r>
    </w:p>
    <w:p w14:paraId="2D49402A" w14:textId="77777777" w:rsidR="00E5639F" w:rsidRPr="00224135" w:rsidRDefault="00E5639F" w:rsidP="00E5639F">
      <w:pPr>
        <w:pStyle w:val="ListParagraph"/>
        <w:numPr>
          <w:ilvl w:val="1"/>
          <w:numId w:val="21"/>
        </w:numPr>
      </w:pPr>
      <w:r w:rsidRPr="00224135">
        <w:t>9 mg/kg weekly in a member with perinatal/infantile-onset HPP</w:t>
      </w:r>
    </w:p>
    <w:p w14:paraId="554B6E8F" w14:textId="6E2F48FF" w:rsidR="00B836B0" w:rsidRPr="00224135" w:rsidRDefault="00E5639F" w:rsidP="00E5639F">
      <w:pPr>
        <w:pStyle w:val="ListParagraph"/>
        <w:numPr>
          <w:ilvl w:val="1"/>
          <w:numId w:val="21"/>
        </w:numPr>
      </w:pPr>
      <w:r w:rsidRPr="00224135">
        <w:t>6 mg/kg weekly in a member with juvenile-onset HPP</w:t>
      </w:r>
    </w:p>
    <w:p w14:paraId="3A643EC3" w14:textId="0EFA23A1" w:rsidR="00A501AC" w:rsidRPr="00224135" w:rsidRDefault="00A501AC" w:rsidP="00A501AC">
      <w:pPr>
        <w:pStyle w:val="Heading2"/>
      </w:pPr>
      <w:r w:rsidRPr="00224135">
        <w:t>Continuation of Therapy</w:t>
      </w:r>
    </w:p>
    <w:p w14:paraId="36BEDC08" w14:textId="2D359EE5" w:rsidR="00E5639F" w:rsidRPr="00224135" w:rsidRDefault="00E5639F" w:rsidP="00E5639F">
      <w:pPr>
        <w:pStyle w:val="BodyText"/>
      </w:pPr>
      <w:r w:rsidRPr="00224135">
        <w:t xml:space="preserve">Authorization of 12 months may be granted for continued treatment in members requesting reauthorization for an indication listed in the coverage criteria section who are currently receiving the requested medication through a paid pharmacy or medical benefit when both of the following </w:t>
      </w:r>
      <w:r w:rsidR="00A601D3">
        <w:t xml:space="preserve">criteria </w:t>
      </w:r>
      <w:r w:rsidRPr="00224135">
        <w:t>are met:</w:t>
      </w:r>
    </w:p>
    <w:p w14:paraId="530BDCB9" w14:textId="5D67CE8C" w:rsidR="00E5639F" w:rsidRPr="00224135" w:rsidRDefault="00E5639F" w:rsidP="008744D0">
      <w:pPr>
        <w:pStyle w:val="ListParagraph"/>
      </w:pPr>
      <w:r w:rsidRPr="00224135">
        <w:t xml:space="preserve">Member is </w:t>
      </w:r>
      <w:r w:rsidR="005608BA">
        <w:t>e</w:t>
      </w:r>
      <w:r w:rsidRPr="00224135">
        <w:t xml:space="preserve">xperiencing </w:t>
      </w:r>
      <w:r w:rsidR="005608BA">
        <w:t>b</w:t>
      </w:r>
      <w:r w:rsidRPr="00224135">
        <w:t xml:space="preserve">enefit from </w:t>
      </w:r>
      <w:r w:rsidR="005608BA">
        <w:t>t</w:t>
      </w:r>
      <w:r w:rsidRPr="00224135">
        <w:t xml:space="preserve">herapy as </w:t>
      </w:r>
      <w:r w:rsidR="005608BA">
        <w:t>d</w:t>
      </w:r>
      <w:r w:rsidRPr="00224135">
        <w:t xml:space="preserve">emonstrated by one of the </w:t>
      </w:r>
      <w:r w:rsidR="005608BA">
        <w:t>f</w:t>
      </w:r>
      <w:r w:rsidRPr="00224135">
        <w:t>ollowing</w:t>
      </w:r>
      <w:r w:rsidR="00FF0358">
        <w:t>:</w:t>
      </w:r>
    </w:p>
    <w:p w14:paraId="091F796E" w14:textId="726BADB1" w:rsidR="00E5639F" w:rsidRPr="000D59E3" w:rsidRDefault="00E5639F" w:rsidP="000D59E3">
      <w:pPr>
        <w:pStyle w:val="ListParagraph"/>
        <w:numPr>
          <w:ilvl w:val="0"/>
          <w:numId w:val="28"/>
        </w:numPr>
      </w:pPr>
      <w:r w:rsidRPr="000D59E3">
        <w:t>Member has experienced improvement in skeletal manifestations from baseline as assessed by the Radiographic Global Impression of Change (RGI-C) scale</w:t>
      </w:r>
      <w:r w:rsidR="00D3198F">
        <w:t>.</w:t>
      </w:r>
    </w:p>
    <w:p w14:paraId="17822ABC" w14:textId="0C2B6343" w:rsidR="00E5639F" w:rsidRPr="000D59E3" w:rsidRDefault="00E5639F" w:rsidP="000D59E3">
      <w:pPr>
        <w:pStyle w:val="ListParagraph"/>
        <w:numPr>
          <w:ilvl w:val="0"/>
          <w:numId w:val="28"/>
        </w:numPr>
      </w:pPr>
      <w:r w:rsidRPr="000D59E3">
        <w:t>Member is less than 18 years of age and has experienced an improvement in height and weight compared to baseline, as measured by z-scores</w:t>
      </w:r>
      <w:r w:rsidR="00D3198F">
        <w:t>.</w:t>
      </w:r>
    </w:p>
    <w:p w14:paraId="77AE237E" w14:textId="472154FE" w:rsidR="00E5639F" w:rsidRPr="000D59E3" w:rsidRDefault="00E5639F" w:rsidP="000D59E3">
      <w:pPr>
        <w:pStyle w:val="ListParagraph"/>
        <w:numPr>
          <w:ilvl w:val="0"/>
          <w:numId w:val="28"/>
        </w:numPr>
      </w:pPr>
      <w:r w:rsidRPr="000D59E3">
        <w:t>Member has experienced an improvement in step length by at least 1 point in either foot compared to baseline based on the Modified Performance Oriented Mobility Assessment-Gait (MPOMA-G) scale</w:t>
      </w:r>
      <w:r w:rsidR="00D3198F">
        <w:t>.</w:t>
      </w:r>
    </w:p>
    <w:p w14:paraId="6E9497A0" w14:textId="34C29DCC" w:rsidR="00E5639F" w:rsidRPr="000D59E3" w:rsidRDefault="00E5639F" w:rsidP="000D59E3">
      <w:pPr>
        <w:pStyle w:val="ListParagraph"/>
        <w:numPr>
          <w:ilvl w:val="0"/>
          <w:numId w:val="28"/>
        </w:numPr>
      </w:pPr>
      <w:r w:rsidRPr="000D59E3">
        <w:t xml:space="preserve">Member has experienced an improvement in 6 Minute Walk Test </w:t>
      </w:r>
      <w:r w:rsidR="00D3198F">
        <w:t xml:space="preserve">(6MWT) </w:t>
      </w:r>
      <w:r w:rsidRPr="000D59E3">
        <w:t>compared to baseline</w:t>
      </w:r>
      <w:r w:rsidR="00D3198F">
        <w:t>.</w:t>
      </w:r>
    </w:p>
    <w:p w14:paraId="5589C2E5" w14:textId="1B4A52A6" w:rsidR="00E5639F" w:rsidRPr="000D59E3" w:rsidRDefault="00E5639F" w:rsidP="000D59E3">
      <w:pPr>
        <w:pStyle w:val="ListParagraph"/>
        <w:numPr>
          <w:ilvl w:val="0"/>
          <w:numId w:val="28"/>
        </w:numPr>
      </w:pPr>
      <w:r w:rsidRPr="000D59E3">
        <w:t>Member has experienced an improvement in Timed Up &amp; Go (TUG) Test compared to baseline</w:t>
      </w:r>
      <w:r w:rsidR="00D3198F">
        <w:t>.</w:t>
      </w:r>
    </w:p>
    <w:p w14:paraId="2106A914" w14:textId="7C4B1212" w:rsidR="00E5639F" w:rsidRPr="000D59E3" w:rsidRDefault="00E5639F" w:rsidP="000D59E3">
      <w:pPr>
        <w:pStyle w:val="ListParagraph"/>
        <w:numPr>
          <w:ilvl w:val="0"/>
          <w:numId w:val="28"/>
        </w:numPr>
      </w:pPr>
      <w:r w:rsidRPr="000D59E3">
        <w:t>Member has experienced an improvement in Chair Rise Test compared to baseline</w:t>
      </w:r>
      <w:r w:rsidR="00D3198F">
        <w:t>.</w:t>
      </w:r>
    </w:p>
    <w:p w14:paraId="17912E99" w14:textId="27F36187" w:rsidR="00E5639F" w:rsidRPr="000D59E3" w:rsidRDefault="00E5639F" w:rsidP="000D59E3">
      <w:pPr>
        <w:pStyle w:val="ListParagraph"/>
        <w:numPr>
          <w:ilvl w:val="0"/>
          <w:numId w:val="28"/>
        </w:numPr>
      </w:pPr>
      <w:r w:rsidRPr="000D59E3">
        <w:t>Member has experienced an improvement in Lower Extremity Function Scale (LEFS) compared to baseline</w:t>
      </w:r>
      <w:r w:rsidR="00D3198F">
        <w:t>.</w:t>
      </w:r>
    </w:p>
    <w:p w14:paraId="37B55E40" w14:textId="2BA18562" w:rsidR="00E5639F" w:rsidRPr="00224135" w:rsidRDefault="00E5639F" w:rsidP="008744D0">
      <w:pPr>
        <w:pStyle w:val="ListParagraph"/>
      </w:pPr>
      <w:r w:rsidRPr="00224135">
        <w:t xml:space="preserve">Member’s </w:t>
      </w:r>
      <w:r w:rsidR="005608BA">
        <w:t>w</w:t>
      </w:r>
      <w:r w:rsidR="000D59E3" w:rsidRPr="00224135">
        <w:t xml:space="preserve">eekly </w:t>
      </w:r>
      <w:r w:rsidR="005608BA">
        <w:t>d</w:t>
      </w:r>
      <w:r w:rsidR="000D59E3" w:rsidRPr="00224135">
        <w:t xml:space="preserve">ose </w:t>
      </w:r>
      <w:r w:rsidR="000D59E3">
        <w:t>w</w:t>
      </w:r>
      <w:r w:rsidR="000D59E3" w:rsidRPr="00224135">
        <w:t xml:space="preserve">ill </w:t>
      </w:r>
      <w:r w:rsidR="000D59E3">
        <w:t>n</w:t>
      </w:r>
      <w:r w:rsidR="000D59E3" w:rsidRPr="00224135">
        <w:t xml:space="preserve">ot </w:t>
      </w:r>
      <w:r w:rsidR="005608BA">
        <w:t>e</w:t>
      </w:r>
      <w:r w:rsidR="000D59E3" w:rsidRPr="00224135">
        <w:t xml:space="preserve">xceed </w:t>
      </w:r>
      <w:r w:rsidR="00D3198F">
        <w:t xml:space="preserve">either of </w:t>
      </w:r>
      <w:r w:rsidR="000D59E3">
        <w:t>t</w:t>
      </w:r>
      <w:r w:rsidR="000D59E3" w:rsidRPr="00224135">
        <w:t xml:space="preserve">he </w:t>
      </w:r>
      <w:r w:rsidR="005608BA">
        <w:t>f</w:t>
      </w:r>
      <w:r w:rsidR="000D59E3" w:rsidRPr="00224135">
        <w:t>ollowing</w:t>
      </w:r>
      <w:r w:rsidR="00FF0358">
        <w:t>:</w:t>
      </w:r>
    </w:p>
    <w:p w14:paraId="43ED9FB5" w14:textId="039F7509" w:rsidR="00E5639F" w:rsidRPr="000D59E3" w:rsidRDefault="00E5639F" w:rsidP="000D59E3">
      <w:pPr>
        <w:pStyle w:val="ListParagraph"/>
        <w:numPr>
          <w:ilvl w:val="0"/>
          <w:numId w:val="29"/>
        </w:numPr>
      </w:pPr>
      <w:r w:rsidRPr="000D59E3">
        <w:t>9 mg/kg weekly in a member with perinatal/infantile-onset HPP</w:t>
      </w:r>
    </w:p>
    <w:p w14:paraId="32C8905D" w14:textId="18286467" w:rsidR="00A501AC" w:rsidRPr="000D59E3" w:rsidRDefault="00E5639F" w:rsidP="000D59E3">
      <w:pPr>
        <w:pStyle w:val="ListParagraph"/>
        <w:numPr>
          <w:ilvl w:val="0"/>
          <w:numId w:val="29"/>
        </w:numPr>
      </w:pPr>
      <w:r w:rsidRPr="000D59E3">
        <w:t>6 mg/kg weekly in a member with juvenile-onset HPP</w:t>
      </w:r>
    </w:p>
    <w:p w14:paraId="784D6ED7" w14:textId="639751D5" w:rsidR="008B1332" w:rsidRPr="00224135" w:rsidRDefault="00B65538" w:rsidP="000D59E3">
      <w:pPr>
        <w:pStyle w:val="Heading2"/>
        <w:keepNext w:val="0"/>
        <w:widowControl w:val="0"/>
      </w:pPr>
      <w:r w:rsidRPr="00224135">
        <w:t>Appendix</w:t>
      </w:r>
    </w:p>
    <w:p w14:paraId="365E736F" w14:textId="77777777" w:rsidR="00E5639F" w:rsidRPr="00224135" w:rsidRDefault="00E5639F" w:rsidP="000D59E3">
      <w:pPr>
        <w:pStyle w:val="Heading3"/>
        <w:keepNext w:val="0"/>
        <w:keepLines w:val="0"/>
        <w:widowControl w:val="0"/>
      </w:pPr>
      <w:r w:rsidRPr="00224135">
        <w:t>Appendix A. Examples of Signs and Symptoms of HPP</w:t>
      </w:r>
      <w:r w:rsidRPr="00224135">
        <w:rPr>
          <w:vertAlign w:val="superscript"/>
        </w:rPr>
        <w:t>2-4</w:t>
      </w:r>
    </w:p>
    <w:p w14:paraId="607F3D51" w14:textId="580BA0B5" w:rsidR="00E5639F" w:rsidRPr="00224135" w:rsidRDefault="00E5639F" w:rsidP="000D59E3">
      <w:pPr>
        <w:pStyle w:val="Heading4"/>
        <w:keepNext w:val="0"/>
        <w:keepLines w:val="0"/>
        <w:widowControl w:val="0"/>
      </w:pPr>
      <w:r w:rsidRPr="00224135">
        <w:t>Perinatal</w:t>
      </w:r>
      <w:r w:rsidR="000D59E3" w:rsidRPr="00224135">
        <w:t xml:space="preserve">/Infantile-Onset </w:t>
      </w:r>
      <w:r w:rsidRPr="00224135">
        <w:t>HPP</w:t>
      </w:r>
    </w:p>
    <w:p w14:paraId="0C603E05" w14:textId="77777777" w:rsidR="00E5639F" w:rsidRPr="000D59E3" w:rsidRDefault="00E5639F" w:rsidP="000D59E3">
      <w:pPr>
        <w:pStyle w:val="ListParagraph"/>
        <w:numPr>
          <w:ilvl w:val="0"/>
          <w:numId w:val="26"/>
        </w:numPr>
      </w:pPr>
      <w:r w:rsidRPr="000D59E3">
        <w:t xml:space="preserve">Generalized </w:t>
      </w:r>
      <w:proofErr w:type="spellStart"/>
      <w:r w:rsidRPr="000D59E3">
        <w:t>hypomineralization</w:t>
      </w:r>
      <w:proofErr w:type="spellEnd"/>
      <w:r w:rsidRPr="000D59E3">
        <w:t xml:space="preserve"> with rachitic features, chest deformities and rib fractures</w:t>
      </w:r>
    </w:p>
    <w:p w14:paraId="63380760" w14:textId="77777777" w:rsidR="00E5639F" w:rsidRPr="000D59E3" w:rsidRDefault="00E5639F" w:rsidP="000D59E3">
      <w:pPr>
        <w:pStyle w:val="ListParagraph"/>
        <w:numPr>
          <w:ilvl w:val="0"/>
          <w:numId w:val="26"/>
        </w:numPr>
      </w:pPr>
      <w:r w:rsidRPr="000D59E3">
        <w:lastRenderedPageBreak/>
        <w:t>Skeletal abnormalities (e.g., short limbs, abnormally shaped chest, soft skull bone)</w:t>
      </w:r>
    </w:p>
    <w:p w14:paraId="777FEB9A" w14:textId="77777777" w:rsidR="00E5639F" w:rsidRPr="000D59E3" w:rsidRDefault="00E5639F" w:rsidP="000D59E3">
      <w:pPr>
        <w:pStyle w:val="ListParagraph"/>
        <w:numPr>
          <w:ilvl w:val="0"/>
          <w:numId w:val="26"/>
        </w:numPr>
      </w:pPr>
      <w:r w:rsidRPr="000D59E3">
        <w:t>Respiratory problems (e.g., pneumonia)</w:t>
      </w:r>
    </w:p>
    <w:p w14:paraId="017E6B36" w14:textId="77777777" w:rsidR="00E5639F" w:rsidRPr="000D59E3" w:rsidRDefault="00E5639F" w:rsidP="000D59E3">
      <w:pPr>
        <w:pStyle w:val="ListParagraph"/>
        <w:numPr>
          <w:ilvl w:val="0"/>
          <w:numId w:val="26"/>
        </w:numPr>
      </w:pPr>
      <w:r w:rsidRPr="000D59E3">
        <w:t>Hypercalcemia</w:t>
      </w:r>
    </w:p>
    <w:p w14:paraId="69E39842" w14:textId="77777777" w:rsidR="00E5639F" w:rsidRPr="000D59E3" w:rsidRDefault="00E5639F" w:rsidP="000D59E3">
      <w:pPr>
        <w:pStyle w:val="ListParagraph"/>
        <w:numPr>
          <w:ilvl w:val="0"/>
          <w:numId w:val="26"/>
        </w:numPr>
      </w:pPr>
      <w:r w:rsidRPr="000D59E3">
        <w:t>Failure to thrive</w:t>
      </w:r>
    </w:p>
    <w:p w14:paraId="5B550B2C" w14:textId="77777777" w:rsidR="00E5639F" w:rsidRPr="000D59E3" w:rsidRDefault="00E5639F" w:rsidP="000D59E3">
      <w:pPr>
        <w:pStyle w:val="ListParagraph"/>
        <w:numPr>
          <w:ilvl w:val="0"/>
          <w:numId w:val="26"/>
        </w:numPr>
      </w:pPr>
      <w:r w:rsidRPr="000D59E3">
        <w:t>Severe muscular hypotonia and weakness</w:t>
      </w:r>
    </w:p>
    <w:p w14:paraId="689A6B34" w14:textId="77777777" w:rsidR="00E5639F" w:rsidRPr="000D59E3" w:rsidRDefault="00E5639F" w:rsidP="000D59E3">
      <w:pPr>
        <w:pStyle w:val="ListParagraph"/>
        <w:numPr>
          <w:ilvl w:val="0"/>
          <w:numId w:val="26"/>
        </w:numPr>
      </w:pPr>
      <w:r w:rsidRPr="000D59E3">
        <w:t>Nephrocalcinosis secondary to hypercalciuria</w:t>
      </w:r>
    </w:p>
    <w:p w14:paraId="070F8A07" w14:textId="77777777" w:rsidR="00E5639F" w:rsidRPr="000D59E3" w:rsidRDefault="00E5639F" w:rsidP="000D59E3">
      <w:pPr>
        <w:pStyle w:val="ListParagraph"/>
        <w:numPr>
          <w:ilvl w:val="0"/>
          <w:numId w:val="26"/>
        </w:numPr>
      </w:pPr>
      <w:r w:rsidRPr="000D59E3">
        <w:t>Swallowing problems</w:t>
      </w:r>
    </w:p>
    <w:p w14:paraId="73E3C883" w14:textId="7742F934" w:rsidR="00E5639F" w:rsidRPr="000D59E3" w:rsidRDefault="00E5639F" w:rsidP="000D59E3">
      <w:pPr>
        <w:pStyle w:val="ListParagraph"/>
        <w:numPr>
          <w:ilvl w:val="0"/>
          <w:numId w:val="26"/>
        </w:numPr>
      </w:pPr>
      <w:r w:rsidRPr="000D59E3">
        <w:t>Seizures</w:t>
      </w:r>
    </w:p>
    <w:p w14:paraId="0490375D" w14:textId="605EC96E" w:rsidR="00E5639F" w:rsidRPr="00224135" w:rsidRDefault="00E5639F" w:rsidP="000D59E3">
      <w:pPr>
        <w:pStyle w:val="Heading4"/>
      </w:pPr>
      <w:r w:rsidRPr="00224135">
        <w:t>Juvenile</w:t>
      </w:r>
      <w:r w:rsidR="000D59E3" w:rsidRPr="00224135">
        <w:t xml:space="preserve">-Onset </w:t>
      </w:r>
      <w:r w:rsidRPr="00224135">
        <w:t>HPP</w:t>
      </w:r>
    </w:p>
    <w:p w14:paraId="2BA8A24F" w14:textId="77777777" w:rsidR="00E5639F" w:rsidRPr="000D59E3" w:rsidRDefault="00E5639F" w:rsidP="000D59E3">
      <w:pPr>
        <w:pStyle w:val="ListParagraph"/>
        <w:numPr>
          <w:ilvl w:val="0"/>
          <w:numId w:val="27"/>
        </w:numPr>
      </w:pPr>
      <w:r w:rsidRPr="000D59E3">
        <w:t>Premature loss of deciduous teeth</w:t>
      </w:r>
    </w:p>
    <w:p w14:paraId="7F677B06" w14:textId="77777777" w:rsidR="00E5639F" w:rsidRPr="000D59E3" w:rsidRDefault="00E5639F" w:rsidP="000D59E3">
      <w:pPr>
        <w:pStyle w:val="ListParagraph"/>
        <w:numPr>
          <w:ilvl w:val="0"/>
          <w:numId w:val="27"/>
        </w:numPr>
      </w:pPr>
      <w:r w:rsidRPr="000D59E3">
        <w:t>Failure to thrive with anorexia, nausea, and gastrointestinal problems</w:t>
      </w:r>
    </w:p>
    <w:p w14:paraId="3FE79C93" w14:textId="77777777" w:rsidR="00E5639F" w:rsidRPr="000D59E3" w:rsidRDefault="00E5639F" w:rsidP="000D59E3">
      <w:pPr>
        <w:pStyle w:val="ListParagraph"/>
        <w:numPr>
          <w:ilvl w:val="0"/>
          <w:numId w:val="27"/>
        </w:numPr>
      </w:pPr>
      <w:r w:rsidRPr="000D59E3">
        <w:t>Short stature with bowed legs or knock knees</w:t>
      </w:r>
    </w:p>
    <w:p w14:paraId="336E95EF" w14:textId="77777777" w:rsidR="00E5639F" w:rsidRPr="000D59E3" w:rsidRDefault="00E5639F" w:rsidP="000D59E3">
      <w:pPr>
        <w:pStyle w:val="ListParagraph"/>
        <w:numPr>
          <w:ilvl w:val="0"/>
          <w:numId w:val="27"/>
        </w:numPr>
      </w:pPr>
      <w:r w:rsidRPr="000D59E3">
        <w:t>Skeletal deformities (e.g., enlarged wrist and ankle joints, abnormal skull shape)</w:t>
      </w:r>
    </w:p>
    <w:p w14:paraId="583C41EC" w14:textId="77777777" w:rsidR="00B50218" w:rsidRPr="000D59E3" w:rsidRDefault="00E5639F" w:rsidP="000D59E3">
      <w:pPr>
        <w:pStyle w:val="ListParagraph"/>
        <w:numPr>
          <w:ilvl w:val="0"/>
          <w:numId w:val="27"/>
        </w:numPr>
      </w:pPr>
      <w:r w:rsidRPr="000D59E3">
        <w:t>Bone and joint pain</w:t>
      </w:r>
    </w:p>
    <w:p w14:paraId="651233DE" w14:textId="77777777" w:rsidR="00E5639F" w:rsidRPr="000D59E3" w:rsidRDefault="00E5639F" w:rsidP="000D59E3">
      <w:pPr>
        <w:pStyle w:val="ListParagraph"/>
        <w:numPr>
          <w:ilvl w:val="0"/>
          <w:numId w:val="27"/>
        </w:numPr>
      </w:pPr>
      <w:r w:rsidRPr="000D59E3">
        <w:t>Rickets</w:t>
      </w:r>
    </w:p>
    <w:p w14:paraId="065CC556" w14:textId="77777777" w:rsidR="00E5639F" w:rsidRPr="000D59E3" w:rsidRDefault="00E5639F" w:rsidP="000D59E3">
      <w:pPr>
        <w:pStyle w:val="ListParagraph"/>
        <w:numPr>
          <w:ilvl w:val="0"/>
          <w:numId w:val="27"/>
        </w:numPr>
      </w:pPr>
      <w:r w:rsidRPr="000D59E3">
        <w:t>Fractures</w:t>
      </w:r>
    </w:p>
    <w:p w14:paraId="300B271F" w14:textId="77777777" w:rsidR="00E5639F" w:rsidRPr="000D59E3" w:rsidRDefault="00E5639F" w:rsidP="000D59E3">
      <w:pPr>
        <w:pStyle w:val="ListParagraph"/>
        <w:numPr>
          <w:ilvl w:val="0"/>
          <w:numId w:val="27"/>
        </w:numPr>
      </w:pPr>
      <w:r w:rsidRPr="000D59E3">
        <w:t>Delayed walking</w:t>
      </w:r>
    </w:p>
    <w:p w14:paraId="12FE4538" w14:textId="6E86D8A4" w:rsidR="00E5639F" w:rsidRPr="000D59E3" w:rsidRDefault="00E5639F" w:rsidP="000D59E3">
      <w:pPr>
        <w:pStyle w:val="ListParagraph"/>
        <w:numPr>
          <w:ilvl w:val="0"/>
          <w:numId w:val="27"/>
        </w:numPr>
      </w:pPr>
      <w:r w:rsidRPr="000D59E3">
        <w:t>Waddling gait</w:t>
      </w:r>
    </w:p>
    <w:p w14:paraId="3FB24092" w14:textId="29C16C20" w:rsidR="00E5639F" w:rsidRPr="00224135" w:rsidRDefault="00E5639F" w:rsidP="00E5639F">
      <w:pPr>
        <w:pStyle w:val="Heading3"/>
      </w:pPr>
      <w:r w:rsidRPr="00224135">
        <w:t>Appendix B. Examples of Radiographic Findings that Support HPP Diagnosis</w:t>
      </w:r>
      <w:r w:rsidRPr="00224135">
        <w:rPr>
          <w:vertAlign w:val="superscript"/>
        </w:rPr>
        <w:t>2-4</w:t>
      </w:r>
    </w:p>
    <w:p w14:paraId="346408F7" w14:textId="77777777" w:rsidR="00E5639F" w:rsidRPr="00224135" w:rsidRDefault="00E5639F" w:rsidP="00E5639F">
      <w:pPr>
        <w:pStyle w:val="ListParagraph"/>
      </w:pPr>
      <w:r w:rsidRPr="00224135">
        <w:t>Infantile rickets</w:t>
      </w:r>
    </w:p>
    <w:p w14:paraId="7CB8C318" w14:textId="77777777" w:rsidR="00E5639F" w:rsidRPr="00224135" w:rsidRDefault="00E5639F" w:rsidP="00E5639F">
      <w:pPr>
        <w:pStyle w:val="ListParagraph"/>
      </w:pPr>
      <w:r w:rsidRPr="00224135">
        <w:t>Alveolar bone loss</w:t>
      </w:r>
    </w:p>
    <w:p w14:paraId="572167FA" w14:textId="77777777" w:rsidR="00E5639F" w:rsidRPr="00224135" w:rsidRDefault="00E5639F" w:rsidP="00E5639F">
      <w:pPr>
        <w:pStyle w:val="ListParagraph"/>
      </w:pPr>
      <w:r w:rsidRPr="00224135">
        <w:t xml:space="preserve">Focal bony defects of the </w:t>
      </w:r>
      <w:proofErr w:type="spellStart"/>
      <w:r w:rsidRPr="00224135">
        <w:t>metaphyses</w:t>
      </w:r>
      <w:proofErr w:type="spellEnd"/>
    </w:p>
    <w:p w14:paraId="379ED031" w14:textId="77777777" w:rsidR="00E5639F" w:rsidRPr="00224135" w:rsidRDefault="00E5639F" w:rsidP="00E5639F">
      <w:pPr>
        <w:pStyle w:val="ListParagraph"/>
      </w:pPr>
      <w:r w:rsidRPr="00224135">
        <w:t>Metatarsal stress fractures or metaphyseal fractures</w:t>
      </w:r>
    </w:p>
    <w:p w14:paraId="62A5B0A1" w14:textId="77777777" w:rsidR="00E5639F" w:rsidRPr="00224135" w:rsidRDefault="00E5639F" w:rsidP="00E5639F">
      <w:pPr>
        <w:pStyle w:val="ListParagraph"/>
      </w:pPr>
      <w:proofErr w:type="spellStart"/>
      <w:r w:rsidRPr="00224135">
        <w:t>Osteomalacia</w:t>
      </w:r>
      <w:proofErr w:type="spellEnd"/>
      <w:r w:rsidRPr="00224135">
        <w:t xml:space="preserve"> with lateral </w:t>
      </w:r>
      <w:proofErr w:type="spellStart"/>
      <w:r w:rsidRPr="00224135">
        <w:t>pseudofractures</w:t>
      </w:r>
      <w:proofErr w:type="spellEnd"/>
    </w:p>
    <w:p w14:paraId="0975FF9C" w14:textId="77777777" w:rsidR="00E5639F" w:rsidRPr="00224135" w:rsidRDefault="00E5639F" w:rsidP="00E5639F">
      <w:pPr>
        <w:pStyle w:val="ListParagraph"/>
      </w:pPr>
      <w:r w:rsidRPr="00224135">
        <w:t>Osteopenia, osteoporosis, or low bone mineral content for age (as detected by dual-energy x-ray absorptiometry [DEXA])</w:t>
      </w:r>
    </w:p>
    <w:p w14:paraId="4431ACBA" w14:textId="0EDBC576" w:rsidR="008B1332" w:rsidRDefault="00E5639F" w:rsidP="00E5639F">
      <w:pPr>
        <w:pStyle w:val="ListParagraph"/>
      </w:pPr>
      <w:r w:rsidRPr="00224135">
        <w:t>Prenatal long bone bowing with osteochondral spurs</w:t>
      </w:r>
    </w:p>
    <w:p w14:paraId="3CFEE998" w14:textId="77777777" w:rsidR="000D59E3" w:rsidRDefault="000D59E3" w:rsidP="00E5639F">
      <w:pPr>
        <w:pStyle w:val="ListParagraph"/>
        <w:sectPr w:rsidR="000D59E3" w:rsidSect="00AA1E6A">
          <w:type w:val="continuous"/>
          <w:pgSz w:w="12240" w:h="15840" w:code="1"/>
          <w:pgMar w:top="900" w:right="720" w:bottom="990" w:left="720" w:header="720" w:footer="807" w:gutter="0"/>
          <w:paperSrc w:first="15" w:other="15"/>
          <w:cols w:space="720"/>
          <w:titlePg/>
          <w:docGrid w:linePitch="272"/>
        </w:sectPr>
      </w:pPr>
    </w:p>
    <w:p w14:paraId="10DA4309" w14:textId="4177B619" w:rsidR="00FF66BF" w:rsidRPr="00224135" w:rsidRDefault="00FF66BF" w:rsidP="00FF66BF">
      <w:pPr>
        <w:pStyle w:val="Heading2"/>
      </w:pPr>
      <w:r w:rsidRPr="00224135">
        <w:t>References</w:t>
      </w:r>
    </w:p>
    <w:p w14:paraId="5DC08941" w14:textId="7A68BEE0" w:rsidR="00E5639F" w:rsidRPr="007F36FF" w:rsidRDefault="00E5639F" w:rsidP="007F36FF">
      <w:pPr>
        <w:pStyle w:val="ReferenceOrdered"/>
      </w:pPr>
      <w:proofErr w:type="spellStart"/>
      <w:r w:rsidRPr="007F36FF">
        <w:t>Strensiq</w:t>
      </w:r>
      <w:proofErr w:type="spellEnd"/>
      <w:r w:rsidRPr="007F36FF">
        <w:t xml:space="preserve"> [package insert]. Boston, MA: Alexion Pharmaceuticals, Inc.; Ju</w:t>
      </w:r>
      <w:r w:rsidR="005608BA">
        <w:t>ly</w:t>
      </w:r>
      <w:r w:rsidRPr="007F36FF">
        <w:t xml:space="preserve"> 202</w:t>
      </w:r>
      <w:r w:rsidR="005608BA">
        <w:t>4</w:t>
      </w:r>
      <w:r w:rsidRPr="007F36FF">
        <w:t>.</w:t>
      </w:r>
    </w:p>
    <w:p w14:paraId="3E5E63A5" w14:textId="1F6F8645" w:rsidR="00E5639F" w:rsidRPr="007F36FF" w:rsidRDefault="00E5639F" w:rsidP="007F36FF">
      <w:pPr>
        <w:pStyle w:val="ReferenceOrdered"/>
      </w:pPr>
      <w:r w:rsidRPr="007F36FF">
        <w:t xml:space="preserve">Bianchi ML. Hypophosphatasia: an overview of the disease and its treatment. </w:t>
      </w:r>
      <w:proofErr w:type="spellStart"/>
      <w:r w:rsidRPr="007F36FF">
        <w:t>Osteoporos</w:t>
      </w:r>
      <w:proofErr w:type="spellEnd"/>
      <w:r w:rsidRPr="007F36FF">
        <w:t xml:space="preserve"> Int. 2015; 26(12):2743-57.</w:t>
      </w:r>
    </w:p>
    <w:p w14:paraId="46219366" w14:textId="613D4755" w:rsidR="00E5639F" w:rsidRPr="007F36FF" w:rsidRDefault="00E5639F" w:rsidP="007F36FF">
      <w:pPr>
        <w:pStyle w:val="ReferenceOrdered"/>
      </w:pPr>
      <w:proofErr w:type="spellStart"/>
      <w:r w:rsidRPr="007F36FF">
        <w:t>Mornet</w:t>
      </w:r>
      <w:proofErr w:type="spellEnd"/>
      <w:r w:rsidRPr="007F36FF">
        <w:t xml:space="preserve"> E, Nunes ME. Hypophosphatasia. GeneReviews [Internet]. Available at http://www.ncbi.nlm.nih.gov/books/NBK1150</w:t>
      </w:r>
      <w:r w:rsidR="00517D47">
        <w:t>.</w:t>
      </w:r>
      <w:r w:rsidR="00E90BED" w:rsidRPr="007F36FF">
        <w:t xml:space="preserve"> </w:t>
      </w:r>
      <w:r w:rsidRPr="007F36FF">
        <w:t xml:space="preserve">Updated March 30, 2023. Accessed August </w:t>
      </w:r>
      <w:r w:rsidR="005608BA">
        <w:t>9</w:t>
      </w:r>
      <w:r w:rsidRPr="007F36FF">
        <w:t>, 202</w:t>
      </w:r>
      <w:r w:rsidR="005608BA">
        <w:t>4</w:t>
      </w:r>
      <w:r w:rsidRPr="007F36FF">
        <w:t>.</w:t>
      </w:r>
    </w:p>
    <w:p w14:paraId="47E1A10C" w14:textId="34FF99B1" w:rsidR="00C44990" w:rsidRPr="007A4B41" w:rsidRDefault="00E5639F" w:rsidP="007A4B41">
      <w:pPr>
        <w:pStyle w:val="ReferenceOrdered"/>
      </w:pPr>
      <w:r w:rsidRPr="007F36FF">
        <w:t>Whyte, MP. Hypophosphatasia: An overview for 2017. Bone. 2017;102:15-25.</w:t>
      </w:r>
    </w:p>
    <w:sectPr w:rsidR="00C44990" w:rsidRPr="007A4B41" w:rsidSect="00AA1E6A">
      <w:footerReference w:type="default" r:id="rId15"/>
      <w:headerReference w:type="first" r:id="rId16"/>
      <w:footerReference w:type="firs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A13C" w14:textId="77777777" w:rsidR="00ED134D" w:rsidRDefault="00ED134D">
      <w:r>
        <w:separator/>
      </w:r>
    </w:p>
  </w:endnote>
  <w:endnote w:type="continuationSeparator" w:id="0">
    <w:p w14:paraId="3EADD8C9" w14:textId="77777777" w:rsidR="00ED134D" w:rsidRDefault="00ED134D">
      <w:r>
        <w:continuationSeparator/>
      </w:r>
    </w:p>
  </w:endnote>
  <w:endnote w:type="continuationNotice" w:id="1">
    <w:p w14:paraId="0E51BEF9" w14:textId="77777777" w:rsidR="00ED134D" w:rsidRDefault="00ED13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73D4" w14:textId="65440725" w:rsidR="00AF1C2C" w:rsidRPr="00EC47B6" w:rsidRDefault="00AF1C2C" w:rsidP="00AF1C2C">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224135">
      <w:rPr>
        <w:rFonts w:cs="Arial"/>
        <w:noProof/>
        <w:sz w:val="16"/>
        <w:szCs w:val="16"/>
      </w:rPr>
      <w:t>Strensiq</w:t>
    </w:r>
    <w:r>
      <w:rPr>
        <w:rFonts w:cs="Arial"/>
        <w:noProof/>
        <w:snapToGrid w:val="0"/>
        <w:color w:val="000000"/>
        <w:sz w:val="16"/>
        <w:szCs w:val="16"/>
      </w:rPr>
      <w:t xml:space="preserve"> SGM 1974-A </w:t>
    </w:r>
    <w:r w:rsidR="00EF4206">
      <w:rPr>
        <w:rFonts w:cs="Arial"/>
        <w:noProof/>
        <w:snapToGrid w:val="0"/>
        <w:color w:val="000000"/>
        <w:sz w:val="16"/>
        <w:szCs w:val="16"/>
      </w:rPr>
      <w:t>P</w:t>
    </w:r>
    <w:r w:rsidRPr="00224135">
      <w:rPr>
        <w:rFonts w:cs="Arial"/>
        <w:noProof/>
        <w:sz w:val="16"/>
        <w:szCs w:val="16"/>
      </w:rPr>
      <w:t>202</w:t>
    </w:r>
    <w:r>
      <w:rPr>
        <w:rFonts w:cs="Arial"/>
        <w:noProof/>
        <w:sz w:val="16"/>
        <w:szCs w:val="16"/>
      </w:rPr>
      <w:t>4_R</w:t>
    </w:r>
    <w:r w:rsidRPr="00224135">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2024 CVS Caremark. All rights reserved.</w:t>
    </w:r>
  </w:p>
  <w:p w14:paraId="6B52707E" w14:textId="77777777" w:rsidR="00AF1C2C" w:rsidRPr="00EC47B6" w:rsidRDefault="00AF1C2C" w:rsidP="00AF1C2C">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F2CF14C" w:rsidR="00F75C81" w:rsidRPr="00AF1C2C" w:rsidRDefault="00AF1C2C" w:rsidP="00AF1C2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1F4CDC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24135" w:rsidRPr="00224135">
      <w:rPr>
        <w:rFonts w:cs="Arial"/>
        <w:noProof/>
        <w:sz w:val="16"/>
        <w:szCs w:val="16"/>
      </w:rPr>
      <w:t>Strensiq</w:t>
    </w:r>
    <w:r w:rsidR="00224135">
      <w:rPr>
        <w:rFonts w:cs="Arial"/>
        <w:noProof/>
        <w:snapToGrid w:val="0"/>
        <w:color w:val="000000"/>
        <w:sz w:val="16"/>
        <w:szCs w:val="16"/>
      </w:rPr>
      <w:t xml:space="preserve"> </w:t>
    </w:r>
    <w:r w:rsidR="00F657D2">
      <w:rPr>
        <w:rFonts w:cs="Arial"/>
        <w:noProof/>
        <w:snapToGrid w:val="0"/>
        <w:color w:val="000000"/>
        <w:sz w:val="16"/>
        <w:szCs w:val="16"/>
      </w:rPr>
      <w:t xml:space="preserve">SGM </w:t>
    </w:r>
    <w:r w:rsidR="00224135">
      <w:rPr>
        <w:rFonts w:cs="Arial"/>
        <w:noProof/>
        <w:snapToGrid w:val="0"/>
        <w:color w:val="000000"/>
        <w:sz w:val="16"/>
        <w:szCs w:val="16"/>
      </w:rPr>
      <w:t xml:space="preserve">1974-A </w:t>
    </w:r>
    <w:r w:rsidR="00EF4206">
      <w:rPr>
        <w:rFonts w:cs="Arial"/>
        <w:noProof/>
        <w:snapToGrid w:val="0"/>
        <w:color w:val="000000"/>
        <w:sz w:val="16"/>
        <w:szCs w:val="16"/>
      </w:rPr>
      <w:t>P</w:t>
    </w:r>
    <w:r w:rsidR="00224135" w:rsidRPr="00224135">
      <w:rPr>
        <w:rFonts w:cs="Arial"/>
        <w:noProof/>
        <w:sz w:val="16"/>
        <w:szCs w:val="16"/>
      </w:rPr>
      <w:t>202</w:t>
    </w:r>
    <w:r w:rsidR="007A670E">
      <w:rPr>
        <w:rFonts w:cs="Arial"/>
        <w:noProof/>
        <w:sz w:val="16"/>
        <w:szCs w:val="16"/>
      </w:rPr>
      <w:t>4</w:t>
    </w:r>
    <w:r w:rsidR="00752F4E">
      <w:rPr>
        <w:rFonts w:cs="Arial"/>
        <w:noProof/>
        <w:sz w:val="16"/>
        <w:szCs w:val="16"/>
      </w:rPr>
      <w:t>_R</w:t>
    </w:r>
    <w:r w:rsidR="00224135" w:rsidRPr="00224135">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0B93F5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937F048" w:rsidR="00ED04EC" w:rsidRPr="00F50D98" w:rsidRDefault="00F50D98" w:rsidP="007A4B4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B42B0" w14:textId="61DA38DA" w:rsidR="005863C0" w:rsidRPr="00224135" w:rsidRDefault="005863C0" w:rsidP="005863C0">
    <w:pPr>
      <w:tabs>
        <w:tab w:val="right" w:pos="10710"/>
      </w:tabs>
      <w:spacing w:before="360" w:after="120"/>
      <w:rPr>
        <w:rFonts w:cs="Arial"/>
        <w:snapToGrid w:val="0"/>
        <w:color w:val="000000"/>
        <w:sz w:val="16"/>
      </w:rPr>
    </w:pPr>
    <w:r w:rsidRPr="00224135">
      <w:rPr>
        <w:rFonts w:cs="Arial"/>
        <w:noProof/>
        <w:snapToGrid w:val="0"/>
        <w:color w:val="000000"/>
        <w:sz w:val="16"/>
        <w:szCs w:val="16"/>
      </w:rPr>
      <w:fldChar w:fldCharType="begin"/>
    </w:r>
    <w:r w:rsidRPr="00224135">
      <w:rPr>
        <w:rFonts w:cs="Arial"/>
        <w:noProof/>
        <w:snapToGrid w:val="0"/>
        <w:color w:val="000000"/>
        <w:sz w:val="16"/>
        <w:szCs w:val="16"/>
      </w:rPr>
      <w:instrText xml:space="preserve"> FILENAME \* MERGEFORMAT </w:instrText>
    </w:r>
    <w:r w:rsidRPr="00224135">
      <w:rPr>
        <w:rFonts w:cs="Arial"/>
        <w:noProof/>
        <w:snapToGrid w:val="0"/>
        <w:color w:val="000000"/>
        <w:sz w:val="16"/>
        <w:szCs w:val="16"/>
      </w:rPr>
      <w:fldChar w:fldCharType="separate"/>
    </w:r>
    <w:r>
      <w:rPr>
        <w:rFonts w:cs="Arial"/>
        <w:noProof/>
        <w:snapToGrid w:val="0"/>
        <w:color w:val="000000"/>
        <w:sz w:val="16"/>
        <w:szCs w:val="16"/>
      </w:rPr>
      <w:t>Strensiq SGM 1974-A 202</w:t>
    </w:r>
    <w:r w:rsidR="007A670E">
      <w:rPr>
        <w:rFonts w:cs="Arial"/>
        <w:noProof/>
        <w:snapToGrid w:val="0"/>
        <w:color w:val="000000"/>
        <w:sz w:val="16"/>
        <w:szCs w:val="16"/>
      </w:rPr>
      <w:t>4</w:t>
    </w:r>
    <w:r>
      <w:rPr>
        <w:rFonts w:cs="Arial"/>
        <w:noProof/>
        <w:snapToGrid w:val="0"/>
        <w:color w:val="000000"/>
        <w:sz w:val="16"/>
        <w:szCs w:val="16"/>
      </w:rPr>
      <w:t>_R.docx</w:t>
    </w:r>
    <w:r w:rsidRPr="00224135">
      <w:rPr>
        <w:rFonts w:cs="Arial"/>
        <w:noProof/>
        <w:snapToGrid w:val="0"/>
        <w:color w:val="000000"/>
        <w:sz w:val="16"/>
        <w:szCs w:val="16"/>
      </w:rPr>
      <w:fldChar w:fldCharType="end"/>
    </w:r>
    <w:r w:rsidRPr="00224135">
      <w:rPr>
        <w:rFonts w:cs="Arial"/>
        <w:snapToGrid w:val="0"/>
        <w:color w:val="000000"/>
        <w:sz w:val="16"/>
      </w:rPr>
      <w:tab/>
      <w:t>© 2024 CVS Caremark. All rights reserved.</w:t>
    </w:r>
  </w:p>
  <w:p w14:paraId="5AEA2743" w14:textId="77777777" w:rsidR="005863C0" w:rsidRPr="00224135" w:rsidRDefault="005863C0" w:rsidP="005863C0">
    <w:pPr>
      <w:tabs>
        <w:tab w:val="center" w:pos="4320"/>
        <w:tab w:val="right" w:pos="8640"/>
      </w:tabs>
      <w:spacing w:after="200"/>
      <w:rPr>
        <w:rFonts w:cs="Arial"/>
        <w:sz w:val="16"/>
        <w:szCs w:val="16"/>
      </w:rPr>
    </w:pPr>
    <w:r w:rsidRPr="00224135">
      <w:rPr>
        <w:rFonts w:cs="Arial"/>
        <w:sz w:val="16"/>
        <w:szCs w:val="16"/>
      </w:rPr>
      <w:t>This document contains c</w:t>
    </w:r>
    <w:r w:rsidRPr="00224135">
      <w:rPr>
        <w:rFonts w:cs="Arial"/>
        <w:snapToGrid w:val="0"/>
        <w:sz w:val="16"/>
        <w:szCs w:val="16"/>
      </w:rPr>
      <w:t xml:space="preserve">onfidential and proprietary information of CVS Caremark and cannot be reproduced, distributed or printed without written permission from CVS Caremark. </w:t>
    </w:r>
    <w:r w:rsidRPr="00224135">
      <w:rPr>
        <w:rFonts w:cs="Arial"/>
        <w:sz w:val="16"/>
        <w:szCs w:val="16"/>
      </w:rPr>
      <w:t xml:space="preserve">This document contains prescription brand name drugs that are trademarks or registered trademarks of pharmaceutical manufacturers that are not affiliated with </w:t>
    </w:r>
    <w:r w:rsidRPr="00224135">
      <w:rPr>
        <w:rFonts w:cs="Arial"/>
        <w:snapToGrid w:val="0"/>
        <w:sz w:val="16"/>
        <w:szCs w:val="16"/>
      </w:rPr>
      <w:t>CVS Caremark</w:t>
    </w:r>
    <w:r w:rsidRPr="00224135">
      <w:rPr>
        <w:rFonts w:cs="Arial"/>
        <w:sz w:val="16"/>
        <w:szCs w:val="16"/>
      </w:rPr>
      <w:t xml:space="preserve">. </w:t>
    </w:r>
  </w:p>
  <w:p w14:paraId="60EB3DFF" w14:textId="3B420327" w:rsidR="000D59E3" w:rsidRPr="007A4B41" w:rsidRDefault="005863C0" w:rsidP="007A4B41">
    <w:pPr>
      <w:autoSpaceDE w:val="0"/>
      <w:autoSpaceDN w:val="0"/>
      <w:adjustRightInd w:val="0"/>
      <w:jc w:val="center"/>
      <w:rPr>
        <w:sz w:val="16"/>
        <w:szCs w:val="16"/>
      </w:rPr>
    </w:pPr>
    <w:r w:rsidRPr="00224135">
      <w:rPr>
        <w:rFonts w:cs="Arial"/>
        <w:sz w:val="16"/>
        <w:szCs w:val="16"/>
      </w:rPr>
      <w:fldChar w:fldCharType="begin"/>
    </w:r>
    <w:r w:rsidRPr="00224135">
      <w:rPr>
        <w:rFonts w:cs="Arial"/>
        <w:sz w:val="16"/>
        <w:szCs w:val="16"/>
      </w:rPr>
      <w:instrText xml:space="preserve"> PAGE   \* MERGEFORMAT </w:instrText>
    </w:r>
    <w:r w:rsidRPr="00224135">
      <w:rPr>
        <w:rFonts w:cs="Arial"/>
        <w:sz w:val="16"/>
        <w:szCs w:val="16"/>
      </w:rPr>
      <w:fldChar w:fldCharType="separate"/>
    </w:r>
    <w:r>
      <w:rPr>
        <w:rFonts w:cs="Arial"/>
        <w:noProof/>
        <w:sz w:val="16"/>
        <w:szCs w:val="16"/>
      </w:rPr>
      <w:t>5</w:t>
    </w:r>
    <w:r w:rsidRPr="00224135">
      <w:rPr>
        <w:rFonts w:cs="Arial"/>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984D8" w14:textId="1CF5F7DC" w:rsidR="00773A5B" w:rsidRPr="00F50D98" w:rsidRDefault="00773A5B"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F33EE" w14:textId="77777777" w:rsidR="00ED134D" w:rsidRDefault="00ED134D">
      <w:r>
        <w:separator/>
      </w:r>
    </w:p>
  </w:footnote>
  <w:footnote w:type="continuationSeparator" w:id="0">
    <w:p w14:paraId="71B71D7D" w14:textId="77777777" w:rsidR="00ED134D" w:rsidRDefault="00ED134D">
      <w:r>
        <w:continuationSeparator/>
      </w:r>
    </w:p>
  </w:footnote>
  <w:footnote w:type="continuationNotice" w:id="1">
    <w:p w14:paraId="43E1B7B8" w14:textId="77777777" w:rsidR="00ED134D" w:rsidRDefault="00ED13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224135" w:rsidRDefault="00ED04EC" w:rsidP="00ED04EC">
          <w:pPr>
            <w:pStyle w:val="Header"/>
            <w:rPr>
              <w:rFonts w:cs="Arial"/>
              <w:sz w:val="16"/>
              <w:szCs w:val="16"/>
            </w:rPr>
          </w:pPr>
          <w:r w:rsidRPr="00224135">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3558F4E" w:rsidR="00ED04EC" w:rsidRPr="00224135" w:rsidRDefault="00E5639F" w:rsidP="00ED04EC">
          <w:pPr>
            <w:pStyle w:val="Header"/>
            <w:rPr>
              <w:rFonts w:cs="Arial"/>
              <w:sz w:val="16"/>
              <w:szCs w:val="16"/>
            </w:rPr>
          </w:pPr>
          <w:r w:rsidRPr="00224135">
            <w:rPr>
              <w:rFonts w:cs="Arial"/>
              <w:sz w:val="16"/>
              <w:szCs w:val="16"/>
            </w:rPr>
            <w:t>1974-A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73A5B" w14:paraId="3EFBFD56" w14:textId="77777777" w:rsidTr="00773A5B">
      <w:trPr>
        <w:trHeight w:val="144"/>
        <w:jc w:val="right"/>
      </w:trPr>
      <w:tc>
        <w:tcPr>
          <w:tcW w:w="1854" w:type="dxa"/>
          <w:tcBorders>
            <w:top w:val="single" w:sz="4" w:space="0" w:color="auto"/>
            <w:left w:val="single" w:sz="4" w:space="0" w:color="auto"/>
            <w:bottom w:val="single" w:sz="4" w:space="0" w:color="auto"/>
            <w:right w:val="single" w:sz="4" w:space="0" w:color="auto"/>
          </w:tcBorders>
          <w:hideMark/>
        </w:tcPr>
        <w:p w14:paraId="6521064F" w14:textId="77777777" w:rsidR="00773A5B" w:rsidRDefault="00773A5B" w:rsidP="00773A5B">
          <w:pPr>
            <w:pStyle w:val="Header"/>
            <w:rPr>
              <w:rFonts w:ascii="Arial" w:hAnsi="Arial" w:cs="Arial"/>
              <w:sz w:val="16"/>
              <w:szCs w:val="16"/>
            </w:rPr>
          </w:pPr>
          <w:r>
            <w:rPr>
              <w:rFonts w:ascii="Arial" w:hAnsi="Arial" w:cs="Arial"/>
              <w:sz w:val="16"/>
              <w:szCs w:val="16"/>
            </w:rPr>
            <w:t>Reference number(s)</w:t>
          </w:r>
        </w:p>
      </w:tc>
    </w:tr>
    <w:tr w:rsidR="00773A5B" w14:paraId="02E42A4B" w14:textId="77777777" w:rsidTr="00773A5B">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43290A6" w14:textId="77777777" w:rsidR="00773A5B" w:rsidRDefault="00773A5B" w:rsidP="00773A5B">
          <w:pPr>
            <w:pStyle w:val="Header"/>
            <w:rPr>
              <w:rFonts w:ascii="Arial" w:hAnsi="Arial" w:cs="Arial"/>
              <w:sz w:val="16"/>
              <w:szCs w:val="16"/>
            </w:rPr>
          </w:pPr>
          <w:r>
            <w:rPr>
              <w:rFonts w:ascii="Arial" w:hAnsi="Arial" w:cs="Arial"/>
              <w:sz w:val="16"/>
              <w:szCs w:val="16"/>
            </w:rPr>
            <w:t>1974-A</w:t>
          </w:r>
        </w:p>
      </w:tc>
    </w:tr>
  </w:tbl>
  <w:p w14:paraId="063727A3" w14:textId="77777777" w:rsidR="00773A5B" w:rsidRDefault="00773A5B" w:rsidP="00773A5B">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530507"/>
    <w:multiLevelType w:val="hybridMultilevel"/>
    <w:tmpl w:val="2A94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944AFA"/>
    <w:multiLevelType w:val="hybridMultilevel"/>
    <w:tmpl w:val="51DE1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14337D"/>
    <w:multiLevelType w:val="hybridMultilevel"/>
    <w:tmpl w:val="04F8DC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62E179D"/>
    <w:multiLevelType w:val="hybridMultilevel"/>
    <w:tmpl w:val="42EEF4B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7"/>
  </w:num>
  <w:num w:numId="18" w16cid:durableId="299724409">
    <w:abstractNumId w:val="20"/>
  </w:num>
  <w:num w:numId="19" w16cid:durableId="214585573">
    <w:abstractNumId w:val="14"/>
  </w:num>
  <w:num w:numId="20" w16cid:durableId="1289816170">
    <w:abstractNumId w:val="15"/>
  </w:num>
  <w:num w:numId="21" w16cid:durableId="1066490929">
    <w:abstractNumId w:val="28"/>
  </w:num>
  <w:num w:numId="22" w16cid:durableId="1472481103">
    <w:abstractNumId w:val="22"/>
  </w:num>
  <w:num w:numId="23" w16cid:durableId="1997420403">
    <w:abstractNumId w:val="24"/>
  </w:num>
  <w:num w:numId="24" w16cid:durableId="33312838">
    <w:abstractNumId w:val="21"/>
  </w:num>
  <w:num w:numId="25" w16cid:durableId="507404939">
    <w:abstractNumId w:val="16"/>
  </w:num>
  <w:num w:numId="26" w16cid:durableId="132870055">
    <w:abstractNumId w:val="18"/>
  </w:num>
  <w:num w:numId="27" w16cid:durableId="55249453">
    <w:abstractNumId w:val="11"/>
  </w:num>
  <w:num w:numId="28" w16cid:durableId="2110931007">
    <w:abstractNumId w:val="25"/>
  </w:num>
  <w:num w:numId="29" w16cid:durableId="847332435">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69B"/>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4DE"/>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3C7C"/>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0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9E3"/>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135"/>
    <w:rsid w:val="002243D0"/>
    <w:rsid w:val="002244E4"/>
    <w:rsid w:val="00224DC4"/>
    <w:rsid w:val="00226F8F"/>
    <w:rsid w:val="002277CB"/>
    <w:rsid w:val="002303E5"/>
    <w:rsid w:val="002326EC"/>
    <w:rsid w:val="00232BF5"/>
    <w:rsid w:val="002338A0"/>
    <w:rsid w:val="00233FF2"/>
    <w:rsid w:val="002341EB"/>
    <w:rsid w:val="0023423A"/>
    <w:rsid w:val="002346E7"/>
    <w:rsid w:val="00234DE0"/>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82A"/>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17B8B"/>
    <w:rsid w:val="00320652"/>
    <w:rsid w:val="003213DE"/>
    <w:rsid w:val="00321446"/>
    <w:rsid w:val="00322EB1"/>
    <w:rsid w:val="00323534"/>
    <w:rsid w:val="00324298"/>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914"/>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5CE8"/>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17D47"/>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8BA"/>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3C0"/>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0F16"/>
    <w:rsid w:val="00731FCA"/>
    <w:rsid w:val="007325C8"/>
    <w:rsid w:val="00732B93"/>
    <w:rsid w:val="0073324D"/>
    <w:rsid w:val="0073356B"/>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2F4E"/>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3A5B"/>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4B41"/>
    <w:rsid w:val="007A56B7"/>
    <w:rsid w:val="007A5CEC"/>
    <w:rsid w:val="007A61F8"/>
    <w:rsid w:val="007A670E"/>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A45"/>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6F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2F7C"/>
    <w:rsid w:val="00863211"/>
    <w:rsid w:val="00863541"/>
    <w:rsid w:val="008646F4"/>
    <w:rsid w:val="00864778"/>
    <w:rsid w:val="00866B5D"/>
    <w:rsid w:val="00866BCA"/>
    <w:rsid w:val="00866CFE"/>
    <w:rsid w:val="00870ECC"/>
    <w:rsid w:val="00871B95"/>
    <w:rsid w:val="008728CD"/>
    <w:rsid w:val="00873215"/>
    <w:rsid w:val="008733E5"/>
    <w:rsid w:val="0087374A"/>
    <w:rsid w:val="00873CA8"/>
    <w:rsid w:val="00874174"/>
    <w:rsid w:val="008741C9"/>
    <w:rsid w:val="008744D0"/>
    <w:rsid w:val="00874AA6"/>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6E7"/>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876"/>
    <w:rsid w:val="008A7CB0"/>
    <w:rsid w:val="008A7DD8"/>
    <w:rsid w:val="008B0016"/>
    <w:rsid w:val="008B00D1"/>
    <w:rsid w:val="008B0A79"/>
    <w:rsid w:val="008B0EAA"/>
    <w:rsid w:val="008B1332"/>
    <w:rsid w:val="008B141E"/>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5EC"/>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1D3"/>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D40"/>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1C2C"/>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DD4"/>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21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3955"/>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3AC"/>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98F"/>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A37"/>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5B27"/>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F2C"/>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39F"/>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BED"/>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134D"/>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206"/>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5FF"/>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7D2"/>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5512"/>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358"/>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95864724">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35103558">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6594043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18885429">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70219447">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6466779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63970">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7827724">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1825891">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1717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ce173f13-e3a2-4c5f-8c54-d0382ae88016"/>
    <ds:schemaRef ds:uri="102fadf2-6cae-45bc-95f6-bc2613b98572"/>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5B4E17C1-17CC-492E-A9F2-30830F893507}"/>
</file>

<file path=docProps/app.xml><?xml version="1.0" encoding="utf-8"?>
<Properties xmlns="http://schemas.openxmlformats.org/officeDocument/2006/extended-properties" xmlns:vt="http://schemas.openxmlformats.org/officeDocument/2006/docPropsVTypes">
  <Template>Normal.dotm</Template>
  <TotalTime>57</TotalTime>
  <Pages>4</Pages>
  <Words>934</Words>
  <Characters>5605</Characters>
  <Application>Microsoft Office Word</Application>
  <DocSecurity>0</DocSecurity>
  <Lines>112</Lines>
  <Paragraphs>83</Paragraphs>
  <ScaleCrop>false</ScaleCrop>
  <HeadingPairs>
    <vt:vector size="2" baseType="variant">
      <vt:variant>
        <vt:lpstr>Title</vt:lpstr>
      </vt:variant>
      <vt:variant>
        <vt:i4>1</vt:i4>
      </vt:variant>
    </vt:vector>
  </HeadingPairs>
  <TitlesOfParts>
    <vt:vector size="1" baseType="lpstr">
      <vt:lpstr>Strensiq 1974-A SGM 2023</vt:lpstr>
    </vt:vector>
  </TitlesOfParts>
  <Company>PCS Health Systems</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Strensiq 1974-A SGM 2023</dc:title>
  <dc:subject/>
  <dc:creator>CVS Caremark</dc:creator>
  <cp:keywords/>
  <cp:lastModifiedBy>Ortiz, Erica M</cp:lastModifiedBy>
  <cp:revision>30</cp:revision>
  <cp:lastPrinted>2018-01-09T05:01:00Z</cp:lastPrinted>
  <dcterms:created xsi:type="dcterms:W3CDTF">2024-05-22T07:02:00Z</dcterms:created>
  <dcterms:modified xsi:type="dcterms:W3CDTF">2025-01-23T17:29:00Z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12722300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